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92C4F" w14:textId="60A6F19D" w:rsidR="00240536" w:rsidRPr="00E62388" w:rsidRDefault="00240536" w:rsidP="00240536">
      <w:pPr>
        <w:jc w:val="both"/>
        <w:rPr>
          <w:rFonts w:cstheme="minorHAnsi"/>
          <w:b/>
          <w:bCs/>
          <w:sz w:val="28"/>
          <w:szCs w:val="28"/>
        </w:rPr>
      </w:pPr>
      <w:r w:rsidRPr="00E62388">
        <w:rPr>
          <w:rFonts w:cstheme="minorHAnsi"/>
          <w:b/>
          <w:bCs/>
          <w:sz w:val="28"/>
          <w:szCs w:val="28"/>
        </w:rPr>
        <w:t xml:space="preserve">FRANCK COLLAS, </w:t>
      </w:r>
      <w:r>
        <w:rPr>
          <w:rFonts w:cstheme="minorHAnsi"/>
          <w:b/>
          <w:bCs/>
          <w:sz w:val="28"/>
          <w:szCs w:val="28"/>
        </w:rPr>
        <w:t>Responsable d’Applications</w:t>
      </w:r>
      <w:r>
        <w:rPr>
          <w:rFonts w:cstheme="minorHAnsi"/>
          <w:b/>
          <w:bCs/>
          <w:sz w:val="28"/>
          <w:szCs w:val="28"/>
        </w:rPr>
        <w:t xml:space="preserve"> en Analyse Thermique,</w:t>
      </w:r>
      <w:r w:rsidRPr="00E62388">
        <w:rPr>
          <w:rFonts w:cstheme="minorHAnsi"/>
          <w:b/>
          <w:bCs/>
          <w:sz w:val="28"/>
          <w:szCs w:val="28"/>
        </w:rPr>
        <w:t xml:space="preserve"> Mettler-Toledo</w:t>
      </w:r>
    </w:p>
    <w:p w14:paraId="5795A485" w14:textId="77777777" w:rsidR="00240536" w:rsidRPr="00E62388" w:rsidRDefault="00240536" w:rsidP="00240536">
      <w:pPr>
        <w:jc w:val="both"/>
        <w:rPr>
          <w:rFonts w:cstheme="minorHAnsi"/>
          <w:b/>
          <w:bCs/>
          <w:i/>
          <w:iCs/>
          <w:color w:val="000000"/>
          <w:sz w:val="28"/>
          <w:szCs w:val="28"/>
        </w:rPr>
      </w:pPr>
      <w:r w:rsidRPr="00E62388">
        <w:rPr>
          <w:rFonts w:cstheme="minorHAnsi"/>
          <w:b/>
          <w:bCs/>
          <w:i/>
          <w:iCs/>
          <w:color w:val="000000"/>
          <w:sz w:val="28"/>
          <w:szCs w:val="28"/>
        </w:rPr>
        <w:t>Applications de l’Analyse Thermique aux Matériaux</w:t>
      </w:r>
    </w:p>
    <w:p w14:paraId="22D569A5" w14:textId="28ECF754" w:rsidR="00240536" w:rsidRDefault="00240536" w:rsidP="00240536">
      <w:pPr>
        <w:spacing w:after="0" w:line="240" w:lineRule="auto"/>
        <w:jc w:val="both"/>
        <w:rPr>
          <w:rFonts w:cstheme="minorHAnsi"/>
          <w:color w:val="000000"/>
          <w:sz w:val="24"/>
          <w:szCs w:val="24"/>
        </w:rPr>
      </w:pPr>
      <w:r w:rsidRPr="004C274E">
        <w:rPr>
          <w:rFonts w:cstheme="minorHAnsi"/>
          <w:color w:val="000000"/>
          <w:sz w:val="24"/>
          <w:szCs w:val="24"/>
        </w:rPr>
        <w:t>Les appareils d’analyse thermique</w:t>
      </w:r>
      <w:r w:rsidRPr="004C274E">
        <w:rPr>
          <w:rFonts w:cstheme="minorHAnsi"/>
          <w:sz w:val="24"/>
          <w:szCs w:val="24"/>
        </w:rPr>
        <w:t xml:space="preserve"> (DSC, TGA, TMA et DMA)</w:t>
      </w:r>
      <w:r w:rsidRPr="004C274E">
        <w:rPr>
          <w:rFonts w:cstheme="minorHAnsi"/>
          <w:color w:val="000000"/>
          <w:sz w:val="24"/>
          <w:szCs w:val="24"/>
        </w:rPr>
        <w:t xml:space="preserve"> jouent un rôle essentiel dans la caractérisation des matériaux en permettant d’étudier leur comportement en fonction de la température et du temps. Ces techniques sont largement utilisées dans les domaines des polymères, des métaux, des céramiques ou encore des matériaux composites. Elles permettent de mesurer différentes grandeurs physiques telles que la masse, le flux de chaleur, la capacité calorifique ou les variations dimensionnelles lors de transformations thermiques. Grâce à ces mesures, il est possible d’identifier des phénomènes comme la fusion, la cristallisation, la décomposition ou les transitions de phase. Ainsi, l’analyse thermique constitue un outil indispensable pour comprendre les propriétés et les performances des matériaux.</w:t>
      </w:r>
    </w:p>
    <w:p w14:paraId="25D920CB" w14:textId="5043F4CC" w:rsidR="00240536" w:rsidRDefault="00240536" w:rsidP="00240536">
      <w:pPr>
        <w:spacing w:after="0" w:line="240" w:lineRule="auto"/>
        <w:jc w:val="both"/>
        <w:rPr>
          <w:rFonts w:cstheme="minorHAnsi"/>
          <w:color w:val="000000"/>
          <w:sz w:val="24"/>
          <w:szCs w:val="24"/>
        </w:rPr>
      </w:pPr>
    </w:p>
    <w:p w14:paraId="5A132394" w14:textId="77777777" w:rsidR="00240536" w:rsidRDefault="00240536" w:rsidP="00240536">
      <w:pPr>
        <w:spacing w:after="0" w:line="240" w:lineRule="auto"/>
        <w:jc w:val="both"/>
        <w:rPr>
          <w:rFonts w:cstheme="minorHAnsi"/>
          <w:color w:val="000000"/>
          <w:sz w:val="24"/>
          <w:szCs w:val="24"/>
        </w:rPr>
      </w:pPr>
    </w:p>
    <w:p w14:paraId="457673BD" w14:textId="77777777" w:rsidR="00240536" w:rsidRPr="004C274E" w:rsidRDefault="00240536" w:rsidP="00240536">
      <w:pPr>
        <w:spacing w:after="0" w:line="240" w:lineRule="auto"/>
        <w:jc w:val="both"/>
        <w:rPr>
          <w:rFonts w:cstheme="minorHAnsi"/>
          <w:sz w:val="24"/>
          <w:szCs w:val="24"/>
        </w:rPr>
      </w:pPr>
    </w:p>
    <w:p w14:paraId="02D58999" w14:textId="77777777" w:rsidR="00E71ED9" w:rsidRDefault="00CD564B" w:rsidP="00CD564B">
      <w:pPr>
        <w:pStyle w:val="NormalWeb"/>
        <w:spacing w:before="0" w:beforeAutospacing="0" w:after="0" w:afterAutospacing="0"/>
        <w:jc w:val="both"/>
        <w:rPr>
          <w:rStyle w:val="lev"/>
          <w:rFonts w:asciiTheme="minorHAnsi" w:hAnsiTheme="minorHAnsi" w:cstheme="minorHAnsi"/>
          <w:color w:val="000000"/>
          <w:sz w:val="28"/>
          <w:szCs w:val="28"/>
        </w:rPr>
      </w:pPr>
      <w:r w:rsidRPr="004C274E">
        <w:rPr>
          <w:rStyle w:val="lev"/>
          <w:rFonts w:asciiTheme="minorHAnsi" w:hAnsiTheme="minorHAnsi" w:cstheme="minorHAnsi"/>
          <w:color w:val="000000"/>
          <w:sz w:val="28"/>
          <w:szCs w:val="28"/>
        </w:rPr>
        <w:t>SANDRA DOMENEK</w:t>
      </w:r>
      <w:r w:rsidR="00E71ED9">
        <w:rPr>
          <w:rStyle w:val="lev"/>
          <w:rFonts w:asciiTheme="minorHAnsi" w:hAnsiTheme="minorHAnsi" w:cstheme="minorHAnsi"/>
          <w:color w:val="000000"/>
          <w:sz w:val="28"/>
          <w:szCs w:val="28"/>
        </w:rPr>
        <w:t xml:space="preserve">, </w:t>
      </w:r>
      <w:r w:rsidR="002337AB">
        <w:rPr>
          <w:rStyle w:val="lev"/>
          <w:rFonts w:asciiTheme="minorHAnsi" w:hAnsiTheme="minorHAnsi" w:cstheme="minorHAnsi"/>
          <w:color w:val="000000"/>
          <w:sz w:val="28"/>
          <w:szCs w:val="28"/>
        </w:rPr>
        <w:t>Professeure, AgroParisTech</w:t>
      </w:r>
    </w:p>
    <w:p w14:paraId="45AC3E6E" w14:textId="77777777" w:rsidR="00E71ED9" w:rsidRDefault="00E71ED9" w:rsidP="00CD564B">
      <w:pPr>
        <w:pStyle w:val="NormalWeb"/>
        <w:spacing w:before="0" w:beforeAutospacing="0" w:after="0" w:afterAutospacing="0"/>
        <w:jc w:val="both"/>
        <w:rPr>
          <w:rStyle w:val="lev"/>
          <w:rFonts w:asciiTheme="minorHAnsi" w:hAnsiTheme="minorHAnsi" w:cstheme="minorHAnsi"/>
          <w:color w:val="000000"/>
          <w:sz w:val="28"/>
          <w:szCs w:val="28"/>
        </w:rPr>
      </w:pPr>
    </w:p>
    <w:p w14:paraId="78AA841E" w14:textId="3826DAFF" w:rsidR="00CD564B" w:rsidRPr="00240536" w:rsidRDefault="00CD564B" w:rsidP="00CD564B">
      <w:pPr>
        <w:pStyle w:val="NormalWeb"/>
        <w:spacing w:before="0" w:beforeAutospacing="0" w:after="0" w:afterAutospacing="0"/>
        <w:jc w:val="both"/>
        <w:rPr>
          <w:rStyle w:val="lev"/>
          <w:rFonts w:asciiTheme="minorHAnsi" w:hAnsiTheme="minorHAnsi" w:cstheme="minorHAnsi"/>
          <w:i/>
          <w:iCs/>
          <w:color w:val="000000"/>
          <w:sz w:val="28"/>
          <w:szCs w:val="28"/>
        </w:rPr>
      </w:pPr>
      <w:r w:rsidRPr="00240536">
        <w:rPr>
          <w:rStyle w:val="lev"/>
          <w:rFonts w:asciiTheme="minorHAnsi" w:hAnsiTheme="minorHAnsi" w:cstheme="minorHAnsi"/>
          <w:i/>
          <w:iCs/>
          <w:color w:val="000000"/>
          <w:sz w:val="28"/>
          <w:szCs w:val="28"/>
        </w:rPr>
        <w:t>Analyse thermique des polymères biodégradables circulaires : de la formulation à la fin de vie</w:t>
      </w:r>
    </w:p>
    <w:p w14:paraId="7172F074" w14:textId="77777777" w:rsidR="00E62388" w:rsidRPr="004C274E" w:rsidRDefault="00E62388" w:rsidP="00CD564B">
      <w:pPr>
        <w:pStyle w:val="NormalWeb"/>
        <w:spacing w:before="0" w:beforeAutospacing="0" w:after="0" w:afterAutospacing="0"/>
        <w:jc w:val="both"/>
        <w:rPr>
          <w:rFonts w:asciiTheme="minorHAnsi" w:hAnsiTheme="minorHAnsi" w:cstheme="minorHAnsi"/>
          <w:color w:val="000000"/>
          <w:sz w:val="28"/>
          <w:szCs w:val="28"/>
        </w:rPr>
      </w:pPr>
    </w:p>
    <w:p w14:paraId="409B586D" w14:textId="77777777" w:rsidR="00CD564B" w:rsidRPr="004C274E" w:rsidRDefault="00CD564B" w:rsidP="00CD564B">
      <w:pPr>
        <w:pStyle w:val="NormalWeb"/>
        <w:spacing w:before="0" w:beforeAutospacing="0" w:after="0" w:afterAutospacing="0"/>
        <w:jc w:val="both"/>
        <w:rPr>
          <w:rFonts w:asciiTheme="minorHAnsi" w:hAnsiTheme="minorHAnsi" w:cstheme="minorHAnsi"/>
          <w:color w:val="000000"/>
          <w:sz w:val="24"/>
          <w:szCs w:val="24"/>
        </w:rPr>
      </w:pPr>
      <w:r w:rsidRPr="004C274E">
        <w:rPr>
          <w:rFonts w:asciiTheme="minorHAnsi" w:hAnsiTheme="minorHAnsi" w:cstheme="minorHAnsi"/>
          <w:color w:val="000000"/>
          <w:sz w:val="24"/>
          <w:szCs w:val="24"/>
        </w:rPr>
        <w:t>Les emballages alimentaires, bien qu’indispensables à la protection et à la conservation des aliments, constituent une source potentielle de pollution environnementale par la génération de déchets plastiques. Parmi les solutions envisagées pour réduire cet impact figurent les polymères biodégradables, susceptibles d’intégrer les filières de traitement des biodéchets par compostage ou méthanisation. Pour être fonctionnels, ces matériaux doivent cependant répondre à des cahiers des charges exigeants, notamment en termes de propriétés mécaniques et barrières.</w:t>
      </w:r>
    </w:p>
    <w:p w14:paraId="229C2C3C" w14:textId="77777777" w:rsidR="00CD564B" w:rsidRPr="004C274E" w:rsidRDefault="00CD564B" w:rsidP="00CD564B">
      <w:pPr>
        <w:pStyle w:val="NormalWeb"/>
        <w:spacing w:before="0" w:beforeAutospacing="0" w:after="0" w:afterAutospacing="0"/>
        <w:jc w:val="both"/>
        <w:rPr>
          <w:rFonts w:asciiTheme="minorHAnsi" w:hAnsiTheme="minorHAnsi" w:cstheme="minorHAnsi"/>
          <w:color w:val="000000"/>
          <w:sz w:val="24"/>
          <w:szCs w:val="24"/>
        </w:rPr>
      </w:pPr>
      <w:r w:rsidRPr="004C274E">
        <w:rPr>
          <w:rFonts w:asciiTheme="minorHAnsi" w:hAnsiTheme="minorHAnsi" w:cstheme="minorHAnsi"/>
          <w:color w:val="000000"/>
          <w:sz w:val="24"/>
          <w:szCs w:val="24"/>
        </w:rPr>
        <w:t>Ces propriétés sont fortement liées à la morphologie des polymères, et l’analyse thermique constitue un outil particulièrement pertinent pour accompagner leur développement. Cette présentation illustrera différents exemples d’applications de l’analyse thermique dans le domaine des polymères biodégradables circulaires. L’utilisation de l'analyse calorimétrique diatherme avec modulation de température (TM-DSC) pour l’étude de la phase amorphe du PLA en vue d’améliorer ses propriétés barrières sera notamment présentée, ainsi que l’étude du comportement des mélanges de polymères, de la plastification et du vieillissement physique.</w:t>
      </w:r>
    </w:p>
    <w:p w14:paraId="5C59BD15" w14:textId="77777777" w:rsidR="00CD564B" w:rsidRPr="004C274E" w:rsidRDefault="00CD564B" w:rsidP="00CD564B">
      <w:pPr>
        <w:pStyle w:val="NormalWeb"/>
        <w:spacing w:before="0" w:beforeAutospacing="0" w:after="0" w:afterAutospacing="0"/>
        <w:jc w:val="both"/>
        <w:rPr>
          <w:rFonts w:asciiTheme="minorHAnsi" w:hAnsiTheme="minorHAnsi" w:cstheme="minorHAnsi"/>
          <w:color w:val="000000"/>
          <w:sz w:val="24"/>
          <w:szCs w:val="24"/>
        </w:rPr>
      </w:pPr>
      <w:r w:rsidRPr="004C274E">
        <w:rPr>
          <w:rFonts w:asciiTheme="minorHAnsi" w:hAnsiTheme="minorHAnsi" w:cstheme="minorHAnsi"/>
          <w:color w:val="000000"/>
          <w:sz w:val="24"/>
          <w:szCs w:val="24"/>
        </w:rPr>
        <w:t xml:space="preserve">De nombreux matériaux biodégradables commerciaux étant formulés sous forme de </w:t>
      </w:r>
      <w:proofErr w:type="spellStart"/>
      <w:r w:rsidRPr="004C274E">
        <w:rPr>
          <w:rFonts w:asciiTheme="minorHAnsi" w:hAnsiTheme="minorHAnsi" w:cstheme="minorHAnsi"/>
          <w:color w:val="000000"/>
          <w:sz w:val="24"/>
          <w:szCs w:val="24"/>
        </w:rPr>
        <w:t>blends</w:t>
      </w:r>
      <w:proofErr w:type="spellEnd"/>
      <w:r w:rsidRPr="004C274E">
        <w:rPr>
          <w:rFonts w:asciiTheme="minorHAnsi" w:hAnsiTheme="minorHAnsi" w:cstheme="minorHAnsi"/>
          <w:color w:val="000000"/>
          <w:sz w:val="24"/>
          <w:szCs w:val="24"/>
        </w:rPr>
        <w:t>, la compréhension de leur comportement nécessite également une bonne connaissance de leur composition. L’analyse thermogravimétrique (ATG) apporte dans ce contexte une information quantitative précieuse, complémentaire d’autres techniques analytiques telles que la RMN.</w:t>
      </w:r>
    </w:p>
    <w:p w14:paraId="79B7ACD0" w14:textId="77777777" w:rsidR="00CD564B" w:rsidRPr="004C274E" w:rsidRDefault="00CD564B" w:rsidP="00CD564B">
      <w:pPr>
        <w:pStyle w:val="NormalWeb"/>
        <w:spacing w:before="0" w:beforeAutospacing="0" w:after="0" w:afterAutospacing="0"/>
        <w:jc w:val="both"/>
        <w:rPr>
          <w:rFonts w:asciiTheme="minorHAnsi" w:hAnsiTheme="minorHAnsi" w:cstheme="minorHAnsi"/>
          <w:color w:val="000000"/>
          <w:sz w:val="24"/>
          <w:szCs w:val="24"/>
        </w:rPr>
      </w:pPr>
      <w:r w:rsidRPr="004C274E">
        <w:rPr>
          <w:rFonts w:asciiTheme="minorHAnsi" w:hAnsiTheme="minorHAnsi" w:cstheme="minorHAnsi"/>
          <w:color w:val="000000"/>
          <w:sz w:val="24"/>
          <w:szCs w:val="24"/>
        </w:rPr>
        <w:t xml:space="preserve">Ces approches permettent également de mieux comprendre les mécanismes de biodégradation des matériaux en conditions aérobies et anaérobies. Des différences de comportement peuvent ainsi être mises en évidence, notamment entre des mécanismes de dégradation par érosion de surface ou en masse. Ces phénomènes conditionnent la formation </w:t>
      </w:r>
      <w:r w:rsidRPr="004C274E">
        <w:rPr>
          <w:rFonts w:asciiTheme="minorHAnsi" w:hAnsiTheme="minorHAnsi" w:cstheme="minorHAnsi"/>
          <w:color w:val="000000"/>
          <w:sz w:val="24"/>
          <w:szCs w:val="24"/>
        </w:rPr>
        <w:lastRenderedPageBreak/>
        <w:t>éventuelle de fragments résiduels après traitement des biodéchets, ainsi que leur poursuite de biodégradation dans les sols.</w:t>
      </w:r>
    </w:p>
    <w:p w14:paraId="11211E19" w14:textId="3E8C667F" w:rsidR="00240536" w:rsidRPr="004C274E" w:rsidRDefault="00CD564B" w:rsidP="00CD564B">
      <w:pPr>
        <w:pStyle w:val="NormalWeb"/>
        <w:spacing w:before="0" w:beforeAutospacing="0" w:after="0" w:afterAutospacing="0"/>
        <w:jc w:val="both"/>
        <w:rPr>
          <w:rFonts w:asciiTheme="minorHAnsi" w:hAnsiTheme="minorHAnsi" w:cstheme="minorHAnsi"/>
          <w:color w:val="000000"/>
          <w:sz w:val="24"/>
          <w:szCs w:val="24"/>
        </w:rPr>
      </w:pPr>
      <w:r w:rsidRPr="004C274E">
        <w:rPr>
          <w:rFonts w:asciiTheme="minorHAnsi" w:hAnsiTheme="minorHAnsi" w:cstheme="minorHAnsi"/>
          <w:color w:val="000000"/>
          <w:sz w:val="24"/>
          <w:szCs w:val="24"/>
        </w:rPr>
        <w:t>En conclusion, l’analyse thermique apparaît comme un outil puissant pour accompagner le développement, la compréhension et l’évaluation de la fin de vie des polymères biodégradables, dans l’objectif de concevoir des matériaux réellement circulaires.</w:t>
      </w:r>
    </w:p>
    <w:p w14:paraId="5A3BCC88" w14:textId="2B48CD11" w:rsidR="005E60F7" w:rsidRDefault="005E60F7" w:rsidP="00240536">
      <w:pPr>
        <w:spacing w:after="0" w:line="240" w:lineRule="auto"/>
        <w:jc w:val="both"/>
        <w:rPr>
          <w:rFonts w:cstheme="minorHAnsi"/>
          <w:sz w:val="24"/>
          <w:szCs w:val="24"/>
        </w:rPr>
      </w:pPr>
    </w:p>
    <w:p w14:paraId="22EFD906" w14:textId="66657878" w:rsidR="00240536" w:rsidRDefault="00240536" w:rsidP="00240536">
      <w:pPr>
        <w:spacing w:after="0" w:line="240" w:lineRule="auto"/>
        <w:jc w:val="both"/>
        <w:rPr>
          <w:rFonts w:cstheme="minorHAnsi"/>
          <w:sz w:val="24"/>
          <w:szCs w:val="24"/>
        </w:rPr>
      </w:pPr>
    </w:p>
    <w:p w14:paraId="5DCB83C3" w14:textId="77777777" w:rsidR="00240536" w:rsidRPr="004C274E" w:rsidRDefault="00240536" w:rsidP="00240536">
      <w:pPr>
        <w:spacing w:after="0" w:line="240" w:lineRule="auto"/>
        <w:jc w:val="both"/>
        <w:rPr>
          <w:rFonts w:cstheme="minorHAnsi"/>
          <w:sz w:val="24"/>
          <w:szCs w:val="24"/>
        </w:rPr>
      </w:pPr>
    </w:p>
    <w:p w14:paraId="6A24E69E" w14:textId="6E89AAE2" w:rsidR="002711B5" w:rsidRDefault="00CD564B" w:rsidP="00240536">
      <w:pPr>
        <w:spacing w:after="0" w:line="240" w:lineRule="auto"/>
        <w:jc w:val="both"/>
        <w:rPr>
          <w:rFonts w:cstheme="minorHAnsi"/>
          <w:b/>
          <w:bCs/>
          <w:sz w:val="28"/>
          <w:szCs w:val="28"/>
        </w:rPr>
      </w:pPr>
      <w:r w:rsidRPr="00E62388">
        <w:rPr>
          <w:rFonts w:cstheme="minorHAnsi"/>
          <w:b/>
          <w:bCs/>
          <w:sz w:val="28"/>
          <w:szCs w:val="28"/>
        </w:rPr>
        <w:t>RODOLPHE SONNIER</w:t>
      </w:r>
      <w:r w:rsidR="002711B5" w:rsidRPr="00E62388">
        <w:rPr>
          <w:rFonts w:cstheme="minorHAnsi"/>
          <w:b/>
          <w:bCs/>
          <w:sz w:val="28"/>
          <w:szCs w:val="28"/>
        </w:rPr>
        <w:t xml:space="preserve">, </w:t>
      </w:r>
      <w:r w:rsidR="00943016">
        <w:rPr>
          <w:rFonts w:cstheme="minorHAnsi"/>
          <w:b/>
          <w:bCs/>
          <w:sz w:val="28"/>
          <w:szCs w:val="28"/>
        </w:rPr>
        <w:t>Maître Assistant</w:t>
      </w:r>
      <w:r w:rsidR="002711B5" w:rsidRPr="00E62388">
        <w:rPr>
          <w:rFonts w:cstheme="minorHAnsi"/>
          <w:b/>
          <w:bCs/>
          <w:sz w:val="28"/>
          <w:szCs w:val="28"/>
        </w:rPr>
        <w:t>, IMT Mines Al</w:t>
      </w:r>
      <w:r w:rsidR="00943016">
        <w:rPr>
          <w:rFonts w:cstheme="minorHAnsi"/>
          <w:b/>
          <w:bCs/>
          <w:sz w:val="28"/>
          <w:szCs w:val="28"/>
        </w:rPr>
        <w:t>è</w:t>
      </w:r>
      <w:r w:rsidR="002711B5" w:rsidRPr="00E62388">
        <w:rPr>
          <w:rFonts w:cstheme="minorHAnsi"/>
          <w:b/>
          <w:bCs/>
          <w:sz w:val="28"/>
          <w:szCs w:val="28"/>
        </w:rPr>
        <w:t>s</w:t>
      </w:r>
    </w:p>
    <w:p w14:paraId="326D961D" w14:textId="77777777" w:rsidR="00240536" w:rsidRPr="00E62388" w:rsidRDefault="00240536" w:rsidP="00240536">
      <w:pPr>
        <w:spacing w:after="0" w:line="240" w:lineRule="auto"/>
        <w:jc w:val="both"/>
        <w:rPr>
          <w:rFonts w:cstheme="minorHAnsi"/>
          <w:b/>
          <w:bCs/>
          <w:sz w:val="28"/>
          <w:szCs w:val="28"/>
        </w:rPr>
      </w:pPr>
    </w:p>
    <w:p w14:paraId="6EFABFC1" w14:textId="5608344A" w:rsidR="00CD564B" w:rsidRDefault="00CD564B" w:rsidP="00240536">
      <w:pPr>
        <w:spacing w:after="0" w:line="240" w:lineRule="auto"/>
        <w:jc w:val="both"/>
        <w:rPr>
          <w:rFonts w:eastAsia="Times New Roman" w:cstheme="minorHAnsi"/>
          <w:b/>
          <w:bCs/>
          <w:i/>
          <w:iCs/>
          <w:color w:val="000000"/>
          <w:sz w:val="28"/>
          <w:szCs w:val="28"/>
        </w:rPr>
      </w:pPr>
      <w:r w:rsidRPr="00E62388">
        <w:rPr>
          <w:rFonts w:eastAsia="Times New Roman" w:cstheme="minorHAnsi"/>
          <w:b/>
          <w:bCs/>
          <w:i/>
          <w:iCs/>
          <w:color w:val="000000"/>
          <w:sz w:val="28"/>
          <w:szCs w:val="28"/>
        </w:rPr>
        <w:t>Etude de la réaction au feu des matériaux par calorimétrie par déplétion d’oxygène</w:t>
      </w:r>
    </w:p>
    <w:p w14:paraId="13CAEEE0" w14:textId="77777777" w:rsidR="00240536" w:rsidRPr="00E62388" w:rsidRDefault="00240536" w:rsidP="00240536">
      <w:pPr>
        <w:spacing w:after="0" w:line="240" w:lineRule="auto"/>
        <w:jc w:val="both"/>
        <w:rPr>
          <w:rFonts w:eastAsia="Times New Roman" w:cstheme="minorHAnsi"/>
          <w:b/>
          <w:bCs/>
          <w:i/>
          <w:iCs/>
          <w:color w:val="000000"/>
          <w:sz w:val="28"/>
          <w:szCs w:val="28"/>
        </w:rPr>
      </w:pPr>
    </w:p>
    <w:p w14:paraId="200775B3" w14:textId="30F47B0B" w:rsidR="00CD564B" w:rsidRPr="004C274E" w:rsidRDefault="00CD564B" w:rsidP="00CD564B">
      <w:pPr>
        <w:jc w:val="both"/>
        <w:rPr>
          <w:rFonts w:cstheme="minorHAnsi"/>
          <w:sz w:val="24"/>
          <w:szCs w:val="24"/>
        </w:rPr>
      </w:pPr>
      <w:r w:rsidRPr="004C274E">
        <w:rPr>
          <w:rFonts w:cstheme="minorHAnsi"/>
          <w:sz w:val="24"/>
          <w:szCs w:val="24"/>
        </w:rPr>
        <w:t xml:space="preserve">La propagation d’un feu dépend avant tout du bilan énergétique, entre l’énergie requise pour chauffer et pyrolyser le combustible et l’énergie que celui-ci libère par combustion. Réduire le risque incendie nécessite donc de connaître l’énergie que les matériaux organiques libèrent et la vitesse à laquelle cette énergie est libérée lors de l’oxydation des gaz générés par leur décomposition thermique. Avant les années 90, la plupart des méthodes de caractérisation du comportement au feu reposaient sur des mesures de temps d’ignition ou d’extinction, ou de la hauteur de flamme. Depuis les années 90, la méthode de choix sur laquelle reposent désormais les équipements les plus performants est la calorimétrie par déplétion d’oxygène. Cette méthode repose sur le fait que l’énergie libérée est proportionnelle à l’oxygène consommée lors de la combustion, </w:t>
      </w:r>
      <w:r w:rsidR="002711B5" w:rsidRPr="004C274E">
        <w:rPr>
          <w:rFonts w:cstheme="minorHAnsi"/>
          <w:sz w:val="24"/>
          <w:szCs w:val="24"/>
        </w:rPr>
        <w:t>quel que</w:t>
      </w:r>
      <w:r w:rsidRPr="004C274E">
        <w:rPr>
          <w:rFonts w:cstheme="minorHAnsi"/>
          <w:sz w:val="24"/>
          <w:szCs w:val="24"/>
        </w:rPr>
        <w:t xml:space="preserve"> soit le matériau considéré. Elle permet donc d’évaluer l’énergie et la puissance dégagées, sans connaître précisément la composition du combustible ni l’efficacité de la combustion. Après avoir rappelé les principales notions relatives à la réaction au feu et à l’ignifugation des matériaux organiques, cette présentation s’attachera à mettre en évidence l’apport de la calorimétrie par déplétion d’oxygène pour mieux comprendre comment les retardateurs de flamme agissent. </w:t>
      </w:r>
    </w:p>
    <w:p w14:paraId="21CB9800" w14:textId="77777777" w:rsidR="00CD564B" w:rsidRPr="004C274E" w:rsidRDefault="00CD564B" w:rsidP="00CD564B">
      <w:pPr>
        <w:spacing w:before="100" w:beforeAutospacing="1" w:after="100" w:afterAutospacing="1"/>
        <w:rPr>
          <w:rFonts w:cstheme="minorHAnsi"/>
          <w:color w:val="000000"/>
          <w:sz w:val="24"/>
          <w:szCs w:val="24"/>
        </w:rPr>
      </w:pPr>
    </w:p>
    <w:p w14:paraId="483FFCF5" w14:textId="249B4DBE" w:rsidR="00CD564B" w:rsidRPr="004C274E" w:rsidRDefault="00CD564B" w:rsidP="00CD564B">
      <w:pPr>
        <w:jc w:val="both"/>
        <w:rPr>
          <w:rFonts w:cstheme="minorHAnsi"/>
          <w:sz w:val="24"/>
          <w:szCs w:val="24"/>
        </w:rPr>
      </w:pPr>
    </w:p>
    <w:sectPr w:rsidR="00CD564B" w:rsidRPr="004C27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4B"/>
    <w:rsid w:val="002337AB"/>
    <w:rsid w:val="00240536"/>
    <w:rsid w:val="002711B5"/>
    <w:rsid w:val="004C274E"/>
    <w:rsid w:val="005E60F7"/>
    <w:rsid w:val="00943016"/>
    <w:rsid w:val="00A078CA"/>
    <w:rsid w:val="00CD564B"/>
    <w:rsid w:val="00E62388"/>
    <w:rsid w:val="00E71ED9"/>
    <w:rsid w:val="00F056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867C"/>
  <w15:chartTrackingRefBased/>
  <w15:docId w15:val="{28BA3020-6B6D-4B8B-BC39-89F01426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D564B"/>
    <w:pPr>
      <w:spacing w:before="100" w:beforeAutospacing="1" w:after="100" w:afterAutospacing="1" w:line="240" w:lineRule="auto"/>
    </w:pPr>
    <w:rPr>
      <w:rFonts w:ascii="Calibri" w:hAnsi="Calibri" w:cs="Calibri"/>
    </w:rPr>
  </w:style>
  <w:style w:type="character" w:styleId="lev">
    <w:name w:val="Strong"/>
    <w:basedOn w:val="Policepardfaut"/>
    <w:uiPriority w:val="22"/>
    <w:qFormat/>
    <w:rsid w:val="00CD5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389106">
      <w:bodyDiv w:val="1"/>
      <w:marLeft w:val="0"/>
      <w:marRight w:val="0"/>
      <w:marTop w:val="0"/>
      <w:marBottom w:val="0"/>
      <w:divBdr>
        <w:top w:val="none" w:sz="0" w:space="0" w:color="auto"/>
        <w:left w:val="none" w:sz="0" w:space="0" w:color="auto"/>
        <w:bottom w:val="none" w:sz="0" w:space="0" w:color="auto"/>
        <w:right w:val="none" w:sz="0" w:space="0" w:color="auto"/>
      </w:divBdr>
    </w:div>
    <w:div w:id="1255822894">
      <w:bodyDiv w:val="1"/>
      <w:marLeft w:val="0"/>
      <w:marRight w:val="0"/>
      <w:marTop w:val="0"/>
      <w:marBottom w:val="0"/>
      <w:divBdr>
        <w:top w:val="none" w:sz="0" w:space="0" w:color="auto"/>
        <w:left w:val="none" w:sz="0" w:space="0" w:color="auto"/>
        <w:bottom w:val="none" w:sz="0" w:space="0" w:color="auto"/>
        <w:right w:val="none" w:sz="0" w:space="0" w:color="auto"/>
      </w:divBdr>
    </w:div>
    <w:div w:id="1774470490">
      <w:bodyDiv w:val="1"/>
      <w:marLeft w:val="0"/>
      <w:marRight w:val="0"/>
      <w:marTop w:val="0"/>
      <w:marBottom w:val="0"/>
      <w:divBdr>
        <w:top w:val="none" w:sz="0" w:space="0" w:color="auto"/>
        <w:left w:val="none" w:sz="0" w:space="0" w:color="auto"/>
        <w:bottom w:val="none" w:sz="0" w:space="0" w:color="auto"/>
        <w:right w:val="none" w:sz="0" w:space="0" w:color="auto"/>
      </w:divBdr>
    </w:div>
    <w:div w:id="211983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742</Words>
  <Characters>4085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UCBL - Lyon 1</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CHIRIAC RODICA</dc:creator>
  <cp:keywords/>
  <dc:description/>
  <cp:lastModifiedBy>François Toche</cp:lastModifiedBy>
  <cp:revision>3</cp:revision>
  <dcterms:created xsi:type="dcterms:W3CDTF">2026-05-27T12:22:00Z</dcterms:created>
  <dcterms:modified xsi:type="dcterms:W3CDTF">2026-06-01T11:26:00Z</dcterms:modified>
</cp:coreProperties>
</file>